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Комарова, д.35, корп. 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E94760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94760">
        <w:rPr>
          <w:b/>
          <w:color w:val="000000"/>
          <w:kern w:val="3"/>
          <w:sz w:val="24"/>
          <w:szCs w:val="24"/>
          <w:lang w:eastAsia="zh-CN" w:bidi="hi-IN"/>
        </w:rPr>
        <w:t>2 237 920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94760">
        <w:rPr>
          <w:b/>
          <w:bCs/>
          <w:color w:val="000000"/>
          <w:kern w:val="3"/>
          <w:sz w:val="24"/>
          <w:szCs w:val="24"/>
          <w:lang w:eastAsia="zh-CN" w:bidi="hi-IN"/>
        </w:rPr>
        <w:t>33 568,80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94760">
        <w:rPr>
          <w:b/>
          <w:bCs/>
          <w:color w:val="000000"/>
          <w:kern w:val="3"/>
          <w:sz w:val="24"/>
          <w:szCs w:val="24"/>
          <w:lang w:eastAsia="zh-CN" w:bidi="hi-IN"/>
        </w:rPr>
        <w:t>22 379,20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93685-58C7-4304-A331-3C22D986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305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2024-06-27T08:29:00Z</dcterms:created>
  <dcterms:modified xsi:type="dcterms:W3CDTF">2024-06-27T08:29:00Z</dcterms:modified>
</cp:coreProperties>
</file>